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right="641" w:hanging="2"/>
        <w:jc w:val="both"/>
        <w:rPr>
          <w:sz w:val="22"/>
          <w:szCs w:val="22"/>
        </w:rPr>
      </w:pPr>
      <w:r>
        <w:drawing>
          <wp:anchor distT="0" distB="0" distL="114300" distR="114300" simplePos="0" relativeHeight="0" behindDoc="0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-599440</wp:posOffset>
            </wp:positionV>
            <wp:extent cx="2258060" cy="65278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806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6120"/>
        </w:tabs>
        <w:ind w:left="0" w:right="641" w:hanging="2"/>
        <w:jc w:val="both"/>
        <w:rPr>
          <w:sz w:val="22"/>
          <w:szCs w:val="22"/>
        </w:rPr>
      </w:pPr>
    </w:p>
    <w:p>
      <w:pPr>
        <w:tabs>
          <w:tab w:val="left" w:pos="6120"/>
        </w:tabs>
        <w:ind w:left="0" w:right="641" w:hanging="2"/>
        <w:jc w:val="both"/>
        <w:rPr>
          <w:sz w:val="22"/>
          <w:szCs w:val="22"/>
        </w:rPr>
      </w:pPr>
    </w:p>
    <w:p>
      <w:pPr>
        <w:tabs>
          <w:tab w:val="left" w:pos="6120"/>
        </w:tabs>
        <w:ind w:left="0" w:right="641" w:hanging="2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MECANISMO DE SEGUIMIENTO</w:t>
      </w:r>
      <w:r>
        <w:rPr>
          <w:sz w:val="22"/>
          <w:szCs w:val="22"/>
          <w:rtl w:val="0"/>
        </w:rPr>
        <w:tab/>
      </w:r>
      <w:r>
        <w:rPr>
          <w:sz w:val="22"/>
          <w:szCs w:val="22"/>
          <w:rtl w:val="0"/>
        </w:rPr>
        <w:tab/>
      </w:r>
      <w:r>
        <w:rPr>
          <w:sz w:val="22"/>
          <w:szCs w:val="22"/>
          <w:rtl w:val="0"/>
        </w:rPr>
        <w:t>OEA/Ser.L/II.7.10</w:t>
      </w:r>
    </w:p>
    <w:p>
      <w:pPr>
        <w:tabs>
          <w:tab w:val="left" w:pos="6480"/>
        </w:tabs>
        <w:ind w:left="0" w:right="-79" w:hanging="2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CONVENCIÓN BELÉM DO PARÁ (MESECVI) </w:t>
      </w:r>
      <w:r>
        <w:rPr>
          <w:sz w:val="22"/>
          <w:szCs w:val="22"/>
          <w:rtl w:val="0"/>
        </w:rPr>
        <w:tab/>
      </w:r>
      <w:r>
        <w:rPr>
          <w:sz w:val="22"/>
          <w:szCs w:val="22"/>
          <w:rtl w:val="0"/>
        </w:rPr>
        <w:t>MESECVI/CEVI/268/21rev1</w:t>
      </w:r>
    </w:p>
    <w:p>
      <w:pPr>
        <w:tabs>
          <w:tab w:val="left" w:pos="6120"/>
        </w:tabs>
        <w:ind w:left="0" w:right="641" w:hanging="2"/>
        <w:jc w:val="both"/>
        <w:rPr>
          <w:sz w:val="22"/>
          <w:szCs w:val="22"/>
        </w:rPr>
      </w:pPr>
      <w:r>
        <w:rPr>
          <w:b/>
          <w:sz w:val="22"/>
          <w:szCs w:val="22"/>
          <w:rtl w:val="0"/>
        </w:rPr>
        <w:t>Decimoctava Reunión del Comité de Expertas</w:t>
      </w:r>
      <w:r>
        <w:rPr>
          <w:sz w:val="22"/>
          <w:szCs w:val="22"/>
          <w:rtl w:val="0"/>
        </w:rPr>
        <w:tab/>
      </w:r>
      <w:r>
        <w:rPr>
          <w:sz w:val="22"/>
          <w:szCs w:val="22"/>
          <w:rtl w:val="0"/>
        </w:rPr>
        <w:tab/>
      </w:r>
      <w:r>
        <w:rPr>
          <w:sz w:val="22"/>
          <w:szCs w:val="22"/>
          <w:rtl w:val="0"/>
        </w:rPr>
        <w:t>8 de diciembre de 2021</w:t>
      </w:r>
    </w:p>
    <w:p>
      <w:pPr>
        <w:tabs>
          <w:tab w:val="left" w:pos="6120"/>
        </w:tabs>
        <w:ind w:left="0" w:right="641" w:hanging="2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7 y 8 de diciembre de 2021</w:t>
      </w:r>
      <w:r>
        <w:rPr>
          <w:sz w:val="22"/>
          <w:szCs w:val="22"/>
          <w:rtl w:val="0"/>
        </w:rPr>
        <w:tab/>
      </w:r>
      <w:r>
        <w:rPr>
          <w:sz w:val="22"/>
          <w:szCs w:val="22"/>
          <w:rtl w:val="0"/>
        </w:rPr>
        <w:tab/>
      </w:r>
      <w:r>
        <w:rPr>
          <w:sz w:val="22"/>
          <w:szCs w:val="22"/>
          <w:rtl w:val="0"/>
        </w:rPr>
        <w:t>Original: español</w:t>
      </w:r>
    </w:p>
    <w:p>
      <w:pPr>
        <w:tabs>
          <w:tab w:val="left" w:pos="5580"/>
        </w:tabs>
        <w:ind w:left="0" w:right="641" w:hanging="2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Plataforma virtual: Zoom</w:t>
      </w:r>
    </w:p>
    <w:p>
      <w:pPr>
        <w:ind w:left="0" w:hanging="2"/>
        <w:jc w:val="both"/>
        <w:rPr>
          <w:sz w:val="22"/>
          <w:szCs w:val="22"/>
        </w:rPr>
      </w:pPr>
    </w:p>
    <w:p>
      <w:pPr>
        <w:ind w:left="0" w:hanging="2"/>
        <w:jc w:val="center"/>
        <w:rPr>
          <w:sz w:val="22"/>
          <w:szCs w:val="22"/>
        </w:rPr>
      </w:pPr>
    </w:p>
    <w:p>
      <w:pPr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  <w:rtl w:val="0"/>
        </w:rPr>
        <w:t>ACUERDOS DE LA DECIMOCTAVA REUNIÓN DEL COMITÉ DE EXPERTAS DEL MECANISMO DE SEGUIMIENTO DE LA IMPLEMENTACIÓN DE LA</w:t>
      </w:r>
    </w:p>
    <w:p>
      <w:pPr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  <w:rtl w:val="0"/>
        </w:rPr>
        <w:t>CONVENCIÓN INTERAMERICANA PARA PREVENIR, SANCIONAR</w:t>
      </w:r>
    </w:p>
    <w:p>
      <w:pPr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  <w:rtl w:val="0"/>
        </w:rPr>
        <w:t>Y ERRADICAR LA VIOLENCIA CONTRA LA MUJER,</w:t>
      </w:r>
    </w:p>
    <w:p>
      <w:pPr>
        <w:ind w:left="0"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  <w:rtl w:val="0"/>
        </w:rPr>
        <w:t xml:space="preserve">“CONVENCIÓN DE </w:t>
      </w:r>
      <w:r>
        <w:rPr>
          <w:b/>
          <w:i/>
          <w:sz w:val="22"/>
          <w:szCs w:val="22"/>
          <w:rtl w:val="0"/>
        </w:rPr>
        <w:t>BELÉM DO PARÁ</w:t>
      </w:r>
      <w:r>
        <w:rPr>
          <w:b/>
          <w:sz w:val="22"/>
          <w:szCs w:val="22"/>
          <w:rtl w:val="0"/>
        </w:rPr>
        <w:t>” (CEVI)</w:t>
      </w:r>
    </w:p>
    <w:p>
      <w:pPr>
        <w:ind w:left="0" w:hanging="2"/>
        <w:jc w:val="both"/>
        <w:rPr>
          <w:sz w:val="22"/>
          <w:szCs w:val="22"/>
        </w:rPr>
      </w:pPr>
      <w:bookmarkStart w:id="0" w:name="_GoBack"/>
      <w:bookmarkEnd w:id="0"/>
    </w:p>
    <w:p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El Comité de Expertas del Mecanismo de Seguimiento de la “Convención de Belém do Pará”, reunido durante la XVIII Reunión del Comité de Expertas del MESECVI los días 7 y 8 de diciembre de 2021, mediante la plataforma virtual zoom;</w:t>
      </w:r>
    </w:p>
    <w:p>
      <w:pPr>
        <w:ind w:left="0" w:hanging="2"/>
        <w:jc w:val="both"/>
        <w:rPr>
          <w:sz w:val="22"/>
          <w:szCs w:val="22"/>
        </w:rPr>
      </w:pPr>
    </w:p>
    <w:p>
      <w:pPr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  <w:rtl w:val="0"/>
        </w:rPr>
        <w:t>ACUERDA:</w:t>
      </w:r>
    </w:p>
    <w:p>
      <w:pPr>
        <w:ind w:left="0" w:hanging="2"/>
        <w:jc w:val="both"/>
        <w:rPr>
          <w:sz w:val="22"/>
          <w:szCs w:val="22"/>
        </w:rPr>
      </w:pPr>
    </w:p>
    <w:p>
      <w:pPr>
        <w:ind w:left="0" w:hanging="2"/>
        <w:jc w:val="both"/>
        <w:rPr>
          <w:sz w:val="22"/>
          <w:szCs w:val="22"/>
        </w:rPr>
      </w:pPr>
    </w:p>
    <w:p>
      <w:pPr>
        <w:ind w:left="0" w:hanging="2"/>
        <w:jc w:val="both"/>
        <w:rPr>
          <w:sz w:val="22"/>
          <w:szCs w:val="22"/>
        </w:rPr>
      </w:pPr>
    </w:p>
    <w:p>
      <w:pPr>
        <w:numPr>
          <w:ilvl w:val="0"/>
          <w:numId w:val="1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Aprobar el “Informe anual de actividades del CEVI a la Decimoctava Reunión del Comité de Expertas”, documento MESECVI/CEVI/doc.266/21;</w:t>
      </w:r>
    </w:p>
    <w:p>
      <w:pPr>
        <w:ind w:left="0" w:hanging="2"/>
        <w:jc w:val="both"/>
        <w:rPr>
          <w:sz w:val="22"/>
          <w:szCs w:val="22"/>
        </w:rPr>
      </w:pPr>
    </w:p>
    <w:p>
      <w:pPr>
        <w:numPr>
          <w:ilvl w:val="0"/>
          <w:numId w:val="1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Felicitar el lanzamiento de la nueva herramienta digital para el Sistema de Indicadores de Seguimiento a la Implementación del MESECVI y solicitar a la Secretaría Técnica que continúe con la implementación de la </w:t>
      </w:r>
      <w:r>
        <w:rPr>
          <w:i/>
          <w:sz w:val="22"/>
          <w:szCs w:val="22"/>
          <w:rtl w:val="0"/>
        </w:rPr>
        <w:t xml:space="preserve">Cuarta Ronda de Evaluación Multilateral del MESECVI, </w:t>
      </w:r>
      <w:r>
        <w:rPr>
          <w:sz w:val="22"/>
          <w:szCs w:val="22"/>
          <w:rtl w:val="0"/>
        </w:rPr>
        <w:t>que se enfocará en el abordaje del acceso a la justicia para las mujeres víctimas y sobrevivientes de violencia y sus familiares;</w:t>
      </w:r>
      <w:r>
        <w:rPr>
          <w:i/>
          <w:sz w:val="22"/>
          <w:szCs w:val="22"/>
          <w:rtl w:val="0"/>
        </w:rPr>
        <w:t xml:space="preserve"> </w:t>
      </w:r>
    </w:p>
    <w:p>
      <w:pPr>
        <w:ind w:left="0" w:hanging="2"/>
        <w:jc w:val="both"/>
        <w:rPr>
          <w:sz w:val="22"/>
          <w:szCs w:val="22"/>
        </w:rPr>
      </w:pPr>
    </w:p>
    <w:p>
      <w:pPr>
        <w:numPr>
          <w:ilvl w:val="0"/>
          <w:numId w:val="1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Aprobar la matriz de indicadores para los países del Caribe angloparlante que serán usados en el marco de la Cuarta Ronda de Evaluación Multilateral, tomando en cuenta los trabajos y proyectos que se vienen desarrollando en esta subregión, dirigidos a prevenir, sancionar y erradicar la violencia contra las mujeres y las niñas, de acuerdo  a las observaciones de las Expertas; </w:t>
      </w:r>
    </w:p>
    <w:p>
      <w:pPr>
        <w:ind w:left="0" w:hanging="2"/>
        <w:jc w:val="both"/>
        <w:rPr>
          <w:sz w:val="22"/>
          <w:szCs w:val="22"/>
        </w:rPr>
      </w:pPr>
    </w:p>
    <w:p>
      <w:pPr>
        <w:numPr>
          <w:ilvl w:val="0"/>
          <w:numId w:val="1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Solicitar a la Secretaría Técnica el lanzamiento de una campaña para que las organizaciones de la sociedad civil se incorporen al registro de la OEA y participen en el proceso de la Cuarta Ronda de Evaluación Multilateral;</w:t>
      </w:r>
    </w:p>
    <w:p>
      <w:pPr>
        <w:ind w:left="0" w:hanging="2"/>
        <w:jc w:val="both"/>
        <w:rPr>
          <w:sz w:val="22"/>
          <w:szCs w:val="22"/>
        </w:rPr>
      </w:pPr>
    </w:p>
    <w:p>
      <w:pPr>
        <w:numPr>
          <w:ilvl w:val="0"/>
          <w:numId w:val="1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Solicitar a la Secretaría Técnica que continúe difundiendo y apoyando a las Expertas en las estrategias para la difusión de los resultados del </w:t>
      </w:r>
      <w:r>
        <w:rPr>
          <w:i/>
          <w:sz w:val="22"/>
          <w:szCs w:val="22"/>
          <w:rtl w:val="0"/>
        </w:rPr>
        <w:t xml:space="preserve">Tercer Informe de Seguimiento a la Implementación de las Recomendaciones del Comité de Expertas del MESECVI, y </w:t>
      </w:r>
      <w:r>
        <w:rPr>
          <w:sz w:val="22"/>
          <w:szCs w:val="22"/>
          <w:rtl w:val="0"/>
        </w:rPr>
        <w:t>de sus correspondientes Informes Nacionales</w:t>
      </w:r>
      <w:r>
        <w:rPr>
          <w:i/>
          <w:sz w:val="22"/>
          <w:szCs w:val="22"/>
          <w:rtl w:val="0"/>
        </w:rPr>
        <w:t xml:space="preserve">;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200" w:line="276" w:lineRule="auto"/>
        <w:ind w:left="0" w:hanging="2"/>
        <w:jc w:val="both"/>
        <w:rPr>
          <w:color w:val="000000"/>
          <w:sz w:val="22"/>
          <w:szCs w:val="22"/>
        </w:rPr>
      </w:pPr>
    </w:p>
    <w:p>
      <w:pPr>
        <w:ind w:left="0" w:hanging="2"/>
        <w:jc w:val="both"/>
        <w:rPr>
          <w:sz w:val="22"/>
          <w:szCs w:val="22"/>
        </w:rPr>
      </w:pPr>
    </w:p>
    <w:p>
      <w:pPr>
        <w:ind w:left="0" w:hanging="2"/>
        <w:jc w:val="both"/>
        <w:rPr>
          <w:sz w:val="22"/>
          <w:szCs w:val="22"/>
        </w:rPr>
      </w:pPr>
    </w:p>
    <w:p>
      <w:pPr>
        <w:ind w:left="0" w:hanging="2"/>
        <w:jc w:val="both"/>
        <w:rPr>
          <w:sz w:val="22"/>
          <w:szCs w:val="22"/>
        </w:rPr>
      </w:pPr>
    </w:p>
    <w:p>
      <w:pPr>
        <w:numPr>
          <w:ilvl w:val="0"/>
          <w:numId w:val="1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Solicitar a la Secretaría Técnica que continúe con las iniciativas para dar a conocer el trabajo del MESECVI en el Caribe anglófono y Haití y favorecer su involucramiento en las actividades del Mecanismo para prevenir, sancionar y erradicar la violencia contra las mujeres;</w:t>
      </w:r>
    </w:p>
    <w:p>
      <w:pPr>
        <w:ind w:left="0" w:hanging="2"/>
        <w:jc w:val="both"/>
        <w:rPr>
          <w:sz w:val="22"/>
          <w:szCs w:val="22"/>
        </w:rPr>
      </w:pPr>
    </w:p>
    <w:p>
      <w:pPr>
        <w:numPr>
          <w:ilvl w:val="0"/>
          <w:numId w:val="1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Fortalecer las capacidades del Comité y su Secretaría Técnica para realizar un acercamiento específico del trabajo que realiza el MESECVI en Haití; </w:t>
      </w:r>
    </w:p>
    <w:p>
      <w:pPr>
        <w:ind w:left="0" w:hanging="2"/>
        <w:jc w:val="both"/>
        <w:rPr>
          <w:sz w:val="22"/>
          <w:szCs w:val="22"/>
        </w:rPr>
      </w:pPr>
    </w:p>
    <w:p>
      <w:pPr>
        <w:numPr>
          <w:ilvl w:val="0"/>
          <w:numId w:val="1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Tomar nota sobre los proyectos que se están llevando a cabo con la iniciativa Spotlight, PNUD, EUROsociAL+ y el Senado de la República de México, y solicitar a la Secretaría Técnica que mantenga a las Expertas informadas sobre los avances;</w:t>
      </w:r>
    </w:p>
    <w:p>
      <w:pPr>
        <w:ind w:left="0" w:hanging="2"/>
        <w:jc w:val="both"/>
        <w:rPr>
          <w:sz w:val="22"/>
          <w:szCs w:val="22"/>
        </w:rPr>
      </w:pP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rtl w:val="0"/>
        </w:rPr>
        <w:t xml:space="preserve">Aprobar la publicación </w:t>
      </w:r>
      <w:r>
        <w:rPr>
          <w:i/>
          <w:color w:val="000000"/>
          <w:sz w:val="22"/>
          <w:szCs w:val="22"/>
          <w:rtl w:val="0"/>
        </w:rPr>
        <w:t>ad referendum</w:t>
      </w:r>
      <w:r>
        <w:rPr>
          <w:color w:val="000000"/>
          <w:sz w:val="22"/>
          <w:szCs w:val="22"/>
          <w:rtl w:val="0"/>
        </w:rPr>
        <w:t xml:space="preserve"> del informe sobre </w:t>
      </w:r>
      <w:r>
        <w:rPr>
          <w:sz w:val="22"/>
          <w:szCs w:val="22"/>
          <w:rtl w:val="0"/>
        </w:rPr>
        <w:t>M</w:t>
      </w:r>
      <w:r>
        <w:rPr>
          <w:color w:val="000000"/>
          <w:sz w:val="22"/>
          <w:szCs w:val="22"/>
          <w:rtl w:val="0"/>
        </w:rPr>
        <w:t xml:space="preserve">atrimonio </w:t>
      </w:r>
      <w:r>
        <w:rPr>
          <w:sz w:val="22"/>
          <w:szCs w:val="22"/>
          <w:rtl w:val="0"/>
        </w:rPr>
        <w:t>I</w:t>
      </w:r>
      <w:r>
        <w:rPr>
          <w:color w:val="000000"/>
          <w:sz w:val="22"/>
          <w:szCs w:val="22"/>
          <w:rtl w:val="0"/>
        </w:rPr>
        <w:t xml:space="preserve">nfantil y uniones tempranas, con la incorporación de las observaciones que se reciban hasta el 3 de enero de 2022;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200" w:line="276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rtl w:val="0"/>
        </w:rPr>
        <w:t>Aprobar la publicación de la Recomendación General del Comité de Expertas del MESECVI (No. 3): la Figura del Consentimiento en Casos sobre Violencia Sexual contra las Mujeres por Razones de Género y solicitar a la Secretaría que la envíe a los Parlamentos de la Región para garantizar la armonización legislativa conforme los estándares allí establecidos;</w:t>
      </w:r>
    </w:p>
    <w:p>
      <w:pPr>
        <w:numPr>
          <w:ilvl w:val="0"/>
          <w:numId w:val="1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Tomar nota del estudio del MESECVI sobre el seguimiento a las consecuencias de la pandemia de COVID-19 en Latinoamérica y su análisis presupuestario, y continuar observando las medidas de mitigación de la pandemia en la vida de las mujeres y niñas, con una mirada interseccional que incluya a las niñas, mujeres indígenas, mujeres afrodescendientes, mujeres migrantes y refugiadas; y mujeres con discapacidad, y pedirle a la Secretaría Técnica que prepare un Proyecto de Declaración que refleje las preocupaciones planteadas en este Informe;</w:t>
      </w:r>
    </w:p>
    <w:p>
      <w:pPr>
        <w:ind w:left="0" w:hanging="2"/>
        <w:jc w:val="both"/>
        <w:rPr>
          <w:sz w:val="22"/>
          <w:szCs w:val="22"/>
        </w:rPr>
      </w:pPr>
    </w:p>
    <w:p>
      <w:pPr>
        <w:numPr>
          <w:ilvl w:val="0"/>
          <w:numId w:val="1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Aprobar el envío de una carta del Comité de Expertas a los Estados Parte llamando la atención sobre el aumento de todos los tipos de violencia en el contexto de la pandemia de COVID19 y la necesidad de aumentar recursos para su atención, prevención y sanción; </w:t>
      </w:r>
    </w:p>
    <w:p>
      <w:pPr>
        <w:ind w:left="0" w:hanging="2"/>
        <w:jc w:val="both"/>
        <w:rPr>
          <w:sz w:val="22"/>
          <w:szCs w:val="22"/>
        </w:rPr>
      </w:pPr>
    </w:p>
    <w:p>
      <w:pPr>
        <w:numPr>
          <w:ilvl w:val="0"/>
          <w:numId w:val="1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Solicitar a la Secretaría Técnica que dedique esfuerzos a la búsqueda de fondos para el seguimiento a las consecuencias de la pandemia de COVID-19 en el Caribe anglófono, en concreto investigar y documentar: el aumento en la violencia doméstica y de pareja, la violencia sexual; la explotación económica de mujeres, el aumento en los niveles de trabajo no remunerado para mujeres y niñas, las limitaciones existentes en acceso a la salud y la preocupación sobre los medios económicos para aliviar la inseguridad económica de las mujeres en el Caribe durante y posterior a la pandemia;  </w:t>
      </w:r>
    </w:p>
    <w:p>
      <w:pPr>
        <w:ind w:left="630" w:firstLine="0"/>
        <w:jc w:val="both"/>
        <w:rPr>
          <w:sz w:val="22"/>
          <w:szCs w:val="22"/>
        </w:rPr>
      </w:pP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rtl w:val="0"/>
        </w:rPr>
        <w:t>Tomar nota de la investigación realizada con Euros</w:t>
      </w:r>
      <w:r>
        <w:rPr>
          <w:sz w:val="22"/>
          <w:szCs w:val="22"/>
          <w:rtl w:val="0"/>
        </w:rPr>
        <w:t xml:space="preserve">ocial </w:t>
      </w:r>
      <w:r>
        <w:rPr>
          <w:color w:val="000000"/>
          <w:sz w:val="22"/>
          <w:szCs w:val="22"/>
          <w:rtl w:val="0"/>
        </w:rPr>
        <w:t xml:space="preserve">sobre estándares de los refugios y medidas alternativas para mujeres víctimas de violencia y sus familiares y solicitar a la Secretaría que elabore un borrador para la publicación de sus conclusiones y recomendaciones en el marco de la Cuarta Ronda de Evaluación Multilateral;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rtl w:val="0"/>
        </w:rPr>
        <w:t>Solicitar a la Secretaría que coordine el diálogo con otras agencias del Sistema Interamericano y del Sistema U</w:t>
      </w:r>
      <w:r>
        <w:rPr>
          <w:sz w:val="22"/>
          <w:szCs w:val="22"/>
          <w:rtl w:val="0"/>
        </w:rPr>
        <w:t>n</w:t>
      </w:r>
      <w:r>
        <w:rPr>
          <w:color w:val="000000"/>
          <w:sz w:val="22"/>
          <w:szCs w:val="22"/>
          <w:rtl w:val="0"/>
        </w:rPr>
        <w:t>iversal para avanzar acciones relacionadas con la prevención, atención, investigación, sanción y reparación del acoso y el hostigamiento sexual en el ámbito laboral, educativo y de salud;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</w:p>
    <w:p>
      <w:pPr>
        <w:numPr>
          <w:ilvl w:val="0"/>
          <w:numId w:val="1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Profundizar el debate sobre la necesidad de fortalecer las políticas de trabajo con hombres y niños para prevenir la violencia contra las mujeres, respecto a los patrones socioculturales y las creencias existentes en las relaciones desiguales de poder y la violencia simbólica y misoginia, así como s</w:t>
      </w:r>
      <w:r>
        <w:rPr>
          <w:color w:val="000000"/>
          <w:sz w:val="22"/>
          <w:szCs w:val="22"/>
          <w:rtl w:val="0"/>
        </w:rPr>
        <w:t>olicitar a la Secretaría que coordine la participación del Comité de Expertas en el proyecto de Declaración sobre la violencia simbólica que adelanta la Conferencia de Estados P</w:t>
      </w:r>
      <w:r>
        <w:rPr>
          <w:sz w:val="22"/>
          <w:szCs w:val="22"/>
          <w:rtl w:val="0"/>
        </w:rPr>
        <w:t>a</w:t>
      </w:r>
      <w:r>
        <w:rPr>
          <w:color w:val="000000"/>
          <w:sz w:val="22"/>
          <w:szCs w:val="22"/>
          <w:rtl w:val="0"/>
        </w:rPr>
        <w:t>rte</w:t>
      </w:r>
      <w:r>
        <w:rPr>
          <w:sz w:val="22"/>
          <w:szCs w:val="22"/>
          <w:rtl w:val="0"/>
        </w:rPr>
        <w:t>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</w:p>
    <w:p>
      <w:pPr>
        <w:numPr>
          <w:ilvl w:val="0"/>
          <w:numId w:val="1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Profundizar el estudio sobre los casos de desapariciones forzadas que enfrentan las mujeres y las niñas en la región, en particular las mujeres y las niñas que viven en comunidades vulnerables, y las mujeres y las niñas migrantes, </w:t>
      </w:r>
      <w:r>
        <w:rPr>
          <w:color w:val="000000"/>
          <w:sz w:val="22"/>
          <w:szCs w:val="22"/>
          <w:rtl w:val="0"/>
        </w:rPr>
        <w:t>identificando las interseccionalidades existentes con la coyuntura migratoria en la región</w:t>
      </w:r>
      <w:r>
        <w:rPr>
          <w:sz w:val="22"/>
          <w:szCs w:val="22"/>
          <w:rtl w:val="0"/>
        </w:rPr>
        <w:t>;</w:t>
      </w:r>
      <w:r>
        <w:rPr>
          <w:color w:val="000000"/>
          <w:sz w:val="22"/>
          <w:szCs w:val="22"/>
          <w:rtl w:val="0"/>
        </w:rPr>
        <w:t xml:space="preserve"> </w:t>
      </w:r>
    </w:p>
    <w:p>
      <w:pPr>
        <w:ind w:left="630" w:firstLine="0"/>
        <w:jc w:val="both"/>
        <w:rPr>
          <w:sz w:val="22"/>
          <w:szCs w:val="22"/>
        </w:rPr>
      </w:pPr>
    </w:p>
    <w:p>
      <w:pPr>
        <w:numPr>
          <w:ilvl w:val="0"/>
          <w:numId w:val="1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Alentar a los Estados Parte a adoptar programas de capacitación y recomendaciones de política pública para las mujeres en la política para reducir el sexismo y la violencia sistemáticos, la violencia online y a crear conciencia de la necesidad de eliminarlos y facilitar la participación de las mujeres en la política pública sin miedo a la violencia;</w:t>
      </w:r>
    </w:p>
    <w:p>
      <w:pPr>
        <w:ind w:left="0" w:firstLine="0"/>
        <w:jc w:val="both"/>
        <w:rPr>
          <w:sz w:val="22"/>
          <w:szCs w:val="22"/>
        </w:rPr>
      </w:pPr>
    </w:p>
    <w:p>
      <w:pPr>
        <w:numPr>
          <w:ilvl w:val="0"/>
          <w:numId w:val="1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Tomar nota del relanzamiento de la web dedicada a la Convención de Belém do Pará y solicitar a la Secretaría que continúe los esfuerzos para dar a conocer el trabajo y solicitar que se adecúe a las recomendaciones de este Comité;</w:t>
      </w:r>
    </w:p>
    <w:p>
      <w:pPr>
        <w:ind w:left="630" w:firstLine="0"/>
        <w:jc w:val="both"/>
        <w:rPr>
          <w:sz w:val="22"/>
          <w:szCs w:val="22"/>
        </w:rPr>
      </w:pPr>
    </w:p>
    <w:p>
      <w:pPr>
        <w:numPr>
          <w:ilvl w:val="0"/>
          <w:numId w:val="1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Solicitar a la Secretaría coordinar una reunión entre la Directiva del Comité y la Presidencia de la Conferencia de los Estados Parte,  para coordinar el trabajo conjunto y dialogar sobre los avances y retos que presenta el derecho de las mujeres a una vida libre de violencia; </w:t>
      </w:r>
    </w:p>
    <w:p>
      <w:pPr>
        <w:ind w:left="0" w:hanging="2"/>
        <w:jc w:val="both"/>
        <w:rPr>
          <w:sz w:val="22"/>
          <w:szCs w:val="22"/>
        </w:rPr>
      </w:pPr>
    </w:p>
    <w:p>
      <w:pPr>
        <w:numPr>
          <w:ilvl w:val="0"/>
          <w:numId w:val="1"/>
        </w:numPr>
        <w:spacing w:line="276" w:lineRule="auto"/>
        <w:ind w:hanging="2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Solicitar una reunión con la Secretaría Ejecutiva, la Presidencia y la Relatoría de la Mujer de la Comisión Interamericana de Derechos Humanos para buscar mecanismos de coordinación y alianzas estratégicas en el trabajo de prevención de la violencia contra las mujeres y garantía de acceso a la justicia;</w:t>
      </w:r>
    </w:p>
    <w:p>
      <w:pPr>
        <w:ind w:left="0" w:hanging="2"/>
        <w:jc w:val="both"/>
        <w:rPr>
          <w:sz w:val="22"/>
          <w:szCs w:val="22"/>
        </w:rPr>
      </w:pPr>
    </w:p>
    <w:p>
      <w:pPr>
        <w:numPr>
          <w:ilvl w:val="0"/>
          <w:numId w:val="1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Saludar a los Estados Parte que han designado Expertas en 2021 y reiterar la solicitud a los Estados Parte que no han designado a las Expertas para que las nombren a la brevedad. No obstante, </w:t>
      </w:r>
    </w:p>
    <w:p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plantear la preocupación del Comité de expertas por la ausencia de contribuciones de los Estados Parte para el funcionamiento del MESECVI conforme a lo establecido por los propios Estados en el Art. 11 del Estatuto del MESECVI y el Art. 12 del Reglamento del CEVI y reconocer de manera especial las contribuciones permanentes de México y Trinidad y Tobago;</w:t>
      </w:r>
    </w:p>
    <w:p>
      <w:pPr>
        <w:ind w:left="0" w:hanging="2"/>
        <w:jc w:val="both"/>
        <w:rPr>
          <w:sz w:val="22"/>
          <w:szCs w:val="22"/>
        </w:rPr>
      </w:pPr>
    </w:p>
    <w:p>
      <w:pPr>
        <w:numPr>
          <w:ilvl w:val="0"/>
          <w:numId w:val="1"/>
        </w:numPr>
        <w:spacing w:line="24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Saludar la elección de las nuevas autoridades del Comité de Expertas y su designación: Marcela Huaita, Experta de Perú como Presidenta, y Gloria Camacho, Experta de Ecuador y Barbara Bailey, Experta de Jamaica como Vicepresidentas del CEVI; </w:t>
      </w:r>
    </w:p>
    <w:p>
      <w:pPr>
        <w:ind w:left="0" w:hanging="2"/>
        <w:jc w:val="both"/>
        <w:rPr>
          <w:sz w:val="22"/>
          <w:szCs w:val="22"/>
        </w:rPr>
      </w:pPr>
    </w:p>
    <w:p>
      <w:pPr>
        <w:numPr>
          <w:ilvl w:val="0"/>
          <w:numId w:val="1"/>
        </w:numPr>
        <w:spacing w:line="24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Expresar su agradecimiento a las Expertas que han dejado de pertenecer al Comité en 2021 por su enorme contribución a los esfuerzos de los últimos años: Mónica Bayá, Experta de Bolivia; Alma Coello, Experta de Honduras; Mónica Soto, Experta de México y Gaietry Pargass, Experta de Trinidad y Tobago;</w:t>
      </w:r>
    </w:p>
    <w:p>
      <w:pPr>
        <w:ind w:left="0" w:hanging="2"/>
        <w:jc w:val="both"/>
        <w:rPr>
          <w:sz w:val="22"/>
          <w:szCs w:val="22"/>
        </w:rPr>
      </w:pPr>
    </w:p>
    <w:p>
      <w:pPr>
        <w:numPr>
          <w:ilvl w:val="0"/>
          <w:numId w:val="1"/>
        </w:numPr>
        <w:spacing w:line="24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Expresar, por medio de una comunicación escrita, su agradecimiento a la Experta de Chile, Tatiana Rein, por su gestión como Presidenta del CEVI durante 2020 y 2021.</w:t>
      </w:r>
    </w:p>
    <w:sectPr>
      <w:headerReference r:id="rId3" w:type="default"/>
      <w:pgSz w:w="12240" w:h="15840"/>
      <w:pgMar w:top="2160" w:right="900" w:bottom="1296" w:left="1699" w:header="1008" w:footer="720" w:gutter="0"/>
      <w:pgNumType w:start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  <w:rtl w:val="0"/>
      </w:rPr>
      <w:t xml:space="preserve">- </w:t>
    </w: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 xml:space="preserve">PAGE</w:instrText>
    </w:r>
    <w:r>
      <w:rPr>
        <w:color w:val="000000"/>
        <w:sz w:val="22"/>
        <w:szCs w:val="22"/>
      </w:rPr>
      <w:fldChar w:fldCharType="separate"/>
    </w:r>
    <w:r>
      <w:rPr>
        <w:color w:val="000000"/>
        <w:sz w:val="22"/>
        <w:szCs w:val="22"/>
      </w:rPr>
      <w:fldChar w:fldCharType="end"/>
    </w:r>
    <w:r>
      <w:rPr>
        <w:color w:val="000000"/>
        <w:sz w:val="22"/>
        <w:szCs w:val="22"/>
        <w:rtl w:val="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630" w:hanging="360"/>
      </w:pPr>
      <w:rPr>
        <w:vertAlign w:val="baseli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35F42F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line="1" w:lineRule="atLeast"/>
      <w:ind w:leftChars="-1" w:hanging="1" w:hangingChars="1"/>
      <w:textAlignment w:val="top"/>
      <w:outlineLvl w:val="0"/>
    </w:pPr>
    <w:rPr>
      <w:position w:val="-1"/>
      <w:sz w:val="24"/>
      <w:szCs w:val="24"/>
      <w:lang w:val="en-US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</w:pPr>
    <w:rPr>
      <w:b/>
      <w:kern w:val="28"/>
      <w:sz w:val="22"/>
      <w:szCs w:val="2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spacing w:before="240" w:after="60"/>
      <w:ind w:left="720"/>
      <w:outlineLvl w:val="1"/>
    </w:pPr>
    <w:rPr>
      <w:b/>
      <w:sz w:val="22"/>
      <w:szCs w:val="20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spacing w:before="240" w:after="60"/>
      <w:ind w:left="1440"/>
      <w:outlineLvl w:val="2"/>
    </w:pPr>
    <w:rPr>
      <w:b/>
      <w:sz w:val="22"/>
      <w:szCs w:val="20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  <w:lang w:val="es-ES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3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index 1"/>
    <w:basedOn w:val="1"/>
    <w:next w:val="1"/>
    <w:uiPriority w:val="0"/>
    <w:pPr>
      <w:ind w:left="220" w:hanging="220"/>
    </w:pPr>
    <w:rPr>
      <w:sz w:val="22"/>
      <w:szCs w:val="20"/>
    </w:rPr>
  </w:style>
  <w:style w:type="paragraph" w:styleId="9">
    <w:name w:val="Document Map"/>
    <w:basedOn w:val="1"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index 3"/>
    <w:basedOn w:val="1"/>
    <w:next w:val="1"/>
    <w:qFormat/>
    <w:uiPriority w:val="0"/>
    <w:pPr>
      <w:ind w:left="660" w:hanging="220"/>
    </w:pPr>
    <w:rPr>
      <w:sz w:val="22"/>
      <w:szCs w:val="20"/>
    </w:rPr>
  </w:style>
  <w:style w:type="paragraph" w:styleId="11">
    <w:name w:val="index 2"/>
    <w:basedOn w:val="1"/>
    <w:next w:val="1"/>
    <w:uiPriority w:val="0"/>
    <w:pPr>
      <w:ind w:left="440" w:hanging="220"/>
    </w:pPr>
    <w:rPr>
      <w:sz w:val="22"/>
      <w:szCs w:val="20"/>
    </w:rPr>
  </w:style>
  <w:style w:type="paragraph" w:styleId="12">
    <w:name w:val="annotation subject"/>
    <w:basedOn w:val="13"/>
    <w:next w:val="13"/>
    <w:qFormat/>
    <w:uiPriority w:val="0"/>
    <w:rPr>
      <w:b/>
      <w:bCs/>
    </w:rPr>
  </w:style>
  <w:style w:type="paragraph" w:styleId="13">
    <w:name w:val="annotation text"/>
    <w:basedOn w:val="1"/>
    <w:uiPriority w:val="0"/>
    <w:rPr>
      <w:sz w:val="20"/>
      <w:szCs w:val="20"/>
    </w:rPr>
  </w:style>
  <w:style w:type="paragraph" w:styleId="14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15">
    <w:name w:val="header"/>
    <w:basedOn w:val="1"/>
    <w:qFormat/>
    <w:uiPriority w:val="0"/>
  </w:style>
  <w:style w:type="paragraph" w:styleId="16">
    <w:name w:val="Body Text Indent"/>
    <w:basedOn w:val="1"/>
    <w:qFormat/>
    <w:uiPriority w:val="0"/>
    <w:pPr>
      <w:spacing w:after="120"/>
      <w:ind w:left="720"/>
    </w:pPr>
    <w:rPr>
      <w:sz w:val="22"/>
      <w:szCs w:val="20"/>
    </w:rPr>
  </w:style>
  <w:style w:type="paragraph" w:styleId="17">
    <w:name w:val="Signature"/>
    <w:basedOn w:val="1"/>
    <w:uiPriority w:val="0"/>
    <w:pPr>
      <w:ind w:left="4320"/>
    </w:pPr>
    <w:rPr>
      <w:sz w:val="22"/>
      <w:szCs w:val="20"/>
    </w:rPr>
  </w:style>
  <w:style w:type="paragraph" w:styleId="18">
    <w:name w:val="List Bullet 3"/>
    <w:basedOn w:val="1"/>
    <w:uiPriority w:val="0"/>
    <w:rPr>
      <w:sz w:val="22"/>
      <w:szCs w:val="20"/>
    </w:rPr>
  </w:style>
  <w:style w:type="paragraph" w:styleId="19">
    <w:name w:val="Date"/>
    <w:basedOn w:val="1"/>
    <w:next w:val="1"/>
    <w:uiPriority w:val="0"/>
    <w:pPr>
      <w:jc w:val="right"/>
    </w:pPr>
    <w:rPr>
      <w:sz w:val="22"/>
      <w:szCs w:val="20"/>
    </w:rPr>
  </w:style>
  <w:style w:type="paragraph" w:styleId="20">
    <w:name w:val="List Bullet"/>
    <w:basedOn w:val="1"/>
    <w:uiPriority w:val="0"/>
    <w:rPr>
      <w:sz w:val="22"/>
      <w:szCs w:val="20"/>
    </w:rPr>
  </w:style>
  <w:style w:type="paragraph" w:styleId="21">
    <w:name w:val="List Bullet 2"/>
    <w:basedOn w:val="1"/>
    <w:uiPriority w:val="0"/>
    <w:rPr>
      <w:sz w:val="22"/>
      <w:szCs w:val="20"/>
    </w:rPr>
  </w:style>
  <w:style w:type="paragraph" w:styleId="22">
    <w:name w:val="List Bullet 4"/>
    <w:basedOn w:val="1"/>
    <w:uiPriority w:val="0"/>
    <w:rPr>
      <w:sz w:val="22"/>
      <w:szCs w:val="20"/>
    </w:rPr>
  </w:style>
  <w:style w:type="paragraph" w:styleId="23">
    <w:name w:val="Normal (Web)"/>
    <w:basedOn w:val="1"/>
    <w:qFormat/>
    <w:uiPriority w:val="0"/>
    <w:pPr>
      <w:spacing w:before="100" w:beforeAutospacing="1" w:after="100" w:afterAutospacing="1"/>
    </w:pPr>
    <w:rPr>
      <w:lang w:val="es-ES"/>
    </w:rPr>
  </w:style>
  <w:style w:type="paragraph" w:styleId="24">
    <w:name w:val="footer"/>
    <w:basedOn w:val="1"/>
    <w:uiPriority w:val="0"/>
  </w:style>
  <w:style w:type="paragraph" w:styleId="25">
    <w:name w:val="Subtitle"/>
    <w:basedOn w:val="1"/>
    <w:qFormat/>
    <w:uiPriority w:val="0"/>
    <w:pPr>
      <w:spacing w:after="60"/>
      <w:jc w:val="center"/>
    </w:pPr>
    <w:rPr>
      <w:b/>
      <w:sz w:val="22"/>
      <w:szCs w:val="22"/>
    </w:rPr>
  </w:style>
  <w:style w:type="paragraph" w:styleId="26">
    <w:name w:val="Body Text"/>
    <w:basedOn w:val="1"/>
    <w:uiPriority w:val="0"/>
    <w:pPr>
      <w:spacing w:after="120"/>
    </w:pPr>
    <w:rPr>
      <w:sz w:val="22"/>
      <w:szCs w:val="20"/>
    </w:rPr>
  </w:style>
  <w:style w:type="paragraph" w:styleId="27">
    <w:name w:val="Body Text First Indent"/>
    <w:basedOn w:val="26"/>
    <w:uiPriority w:val="0"/>
    <w:pPr>
      <w:ind w:firstLine="720"/>
    </w:pPr>
  </w:style>
  <w:style w:type="paragraph" w:styleId="28">
    <w:name w:val="Body Text First Indent 2"/>
    <w:basedOn w:val="16"/>
    <w:uiPriority w:val="0"/>
    <w:pPr>
      <w:ind w:left="0" w:firstLine="720"/>
    </w:pPr>
  </w:style>
  <w:style w:type="paragraph" w:styleId="29">
    <w:name w:val="Title"/>
    <w:basedOn w:val="1"/>
    <w:next w:val="1"/>
    <w:qFormat/>
    <w:uiPriority w:val="10"/>
    <w:pPr>
      <w:spacing w:before="240" w:after="60"/>
      <w:jc w:val="center"/>
    </w:pPr>
    <w:rPr>
      <w:b/>
      <w:caps/>
      <w:kern w:val="28"/>
      <w:sz w:val="22"/>
      <w:szCs w:val="20"/>
    </w:rPr>
  </w:style>
  <w:style w:type="character" w:styleId="31">
    <w:name w:val="endnote reference"/>
    <w:qFormat/>
    <w:uiPriority w:val="0"/>
    <w:rPr>
      <w:rFonts w:ascii="Times New Roman" w:hAnsi="Times New Roman"/>
      <w:w w:val="100"/>
      <w:position w:val="-1"/>
      <w:sz w:val="22"/>
      <w:vertAlign w:val="superscript"/>
      <w:cs w:val="0"/>
    </w:rPr>
  </w:style>
  <w:style w:type="character" w:styleId="32">
    <w:name w:val="annotation reference"/>
    <w:qFormat/>
    <w:uiPriority w:val="0"/>
    <w:rPr>
      <w:w w:val="100"/>
      <w:position w:val="-1"/>
      <w:sz w:val="16"/>
      <w:szCs w:val="16"/>
      <w:vertAlign w:val="baseline"/>
      <w:cs w:val="0"/>
    </w:rPr>
  </w:style>
  <w:style w:type="character" w:styleId="33">
    <w:name w:val="footnote reference"/>
    <w:uiPriority w:val="0"/>
    <w:rPr>
      <w:w w:val="100"/>
      <w:position w:val="-1"/>
      <w:vertAlign w:val="superscript"/>
      <w:cs w:val="0"/>
    </w:rPr>
  </w:style>
  <w:style w:type="character" w:styleId="34">
    <w:name w:val="Hyperlink"/>
    <w:qFormat/>
    <w:uiPriority w:val="0"/>
    <w:rPr>
      <w:color w:val="0000FF"/>
      <w:w w:val="100"/>
      <w:position w:val="-1"/>
      <w:u w:val="single"/>
      <w:vertAlign w:val="baseline"/>
      <w:cs w:val="0"/>
    </w:rPr>
  </w:style>
  <w:style w:type="character" w:styleId="35">
    <w:name w:val="FollowedHyperlink"/>
    <w:uiPriority w:val="0"/>
    <w:rPr>
      <w:color w:val="800080"/>
      <w:w w:val="100"/>
      <w:position w:val="-1"/>
      <w:u w:val="single"/>
      <w:vertAlign w:val="baseline"/>
      <w:cs w:val="0"/>
    </w:rPr>
  </w:style>
  <w:style w:type="character" w:styleId="36">
    <w:name w:val="page number"/>
    <w:qFormat/>
    <w:uiPriority w:val="0"/>
    <w:rPr>
      <w:rFonts w:ascii="Times New Roman" w:hAnsi="Times New Roman"/>
      <w:w w:val="100"/>
      <w:position w:val="-1"/>
      <w:sz w:val="22"/>
      <w:vertAlign w:val="baseline"/>
      <w:cs w:val="0"/>
    </w:rPr>
  </w:style>
  <w:style w:type="character" w:styleId="37">
    <w:name w:val="Strong"/>
    <w:uiPriority w:val="0"/>
    <w:rPr>
      <w:b/>
      <w:bCs/>
      <w:w w:val="100"/>
      <w:position w:val="-1"/>
      <w:vertAlign w:val="baseline"/>
      <w:cs w:val="0"/>
    </w:rPr>
  </w:style>
  <w:style w:type="table" w:customStyle="1" w:styleId="39">
    <w:name w:val="Table Normal"/>
    <w:qFormat/>
    <w:uiPriority w:val="0"/>
  </w:style>
  <w:style w:type="paragraph" w:customStyle="1" w:styleId="40">
    <w:name w:val="Classif"/>
    <w:basedOn w:val="1"/>
    <w:uiPriority w:val="0"/>
    <w:pPr>
      <w:widowControl w:val="0"/>
      <w:ind w:right="-810"/>
    </w:pPr>
    <w:rPr>
      <w:sz w:val="22"/>
      <w:szCs w:val="20"/>
    </w:rPr>
  </w:style>
  <w:style w:type="paragraph" w:customStyle="1" w:styleId="41">
    <w:name w:val="Bullet Indent"/>
    <w:basedOn w:val="1"/>
    <w:uiPriority w:val="0"/>
    <w:pPr>
      <w:ind w:left="720" w:firstLine="0"/>
    </w:pPr>
    <w:rPr>
      <w:sz w:val="22"/>
      <w:szCs w:val="20"/>
    </w:rPr>
  </w:style>
  <w:style w:type="paragraph" w:customStyle="1" w:styleId="42">
    <w:name w:val="Title bullet Roman"/>
    <w:basedOn w:val="29"/>
    <w:uiPriority w:val="0"/>
    <w:pPr>
      <w:ind w:left="1440" w:hanging="720"/>
      <w:jc w:val="both"/>
    </w:pPr>
  </w:style>
  <w:style w:type="paragraph" w:customStyle="1" w:styleId="43">
    <w:name w:val="Body Text Indent Numerated"/>
    <w:basedOn w:val="28"/>
    <w:qFormat/>
    <w:uiPriority w:val="0"/>
    <w:pPr>
      <w:numPr>
        <w:ilvl w:val="0"/>
        <w:numId w:val="0"/>
      </w:numPr>
      <w:spacing w:before="120"/>
      <w:ind w:left="-1" w:leftChars="-1" w:hanging="1" w:hangingChars="1"/>
    </w:pPr>
  </w:style>
  <w:style w:type="paragraph" w:customStyle="1" w:styleId="44">
    <w:name w:val="Body Text Indent Alfabetic"/>
    <w:basedOn w:val="43"/>
    <w:uiPriority w:val="0"/>
  </w:style>
  <w:style w:type="paragraph" w:customStyle="1" w:styleId="45">
    <w:name w:val="Indent hanging numerated"/>
    <w:basedOn w:val="1"/>
    <w:qFormat/>
    <w:uiPriority w:val="0"/>
    <w:pPr>
      <w:ind w:left="0" w:firstLine="720"/>
    </w:pPr>
    <w:rPr>
      <w:sz w:val="22"/>
      <w:szCs w:val="20"/>
    </w:rPr>
  </w:style>
  <w:style w:type="paragraph" w:customStyle="1" w:styleId="46">
    <w:name w:val="Footnote Text1"/>
    <w:basedOn w:val="1"/>
    <w:uiPriority w:val="0"/>
    <w:rPr>
      <w:sz w:val="20"/>
      <w:szCs w:val="20"/>
    </w:rPr>
  </w:style>
  <w:style w:type="paragraph" w:styleId="47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8">
    <w:name w:val="Footnote Text Char"/>
    <w:uiPriority w:val="0"/>
    <w:rPr>
      <w:w w:val="100"/>
      <w:position w:val="-1"/>
      <w:vertAlign w:val="baseline"/>
      <w:cs w:val="0"/>
      <w:lang w:val="en-US" w:eastAsia="en-US" w:bidi="ar-SA"/>
    </w:rPr>
  </w:style>
  <w:style w:type="character" w:customStyle="1" w:styleId="49">
    <w:name w:val="n fn"/>
    <w:qFormat/>
    <w:uiPriority w:val="0"/>
    <w:rPr>
      <w:w w:val="100"/>
      <w:position w:val="-1"/>
      <w:vertAlign w:val="baseline"/>
      <w:cs w:val="0"/>
    </w:rPr>
  </w:style>
  <w:style w:type="character" w:customStyle="1" w:styleId="50">
    <w:name w:val="full-name"/>
    <w:uiPriority w:val="0"/>
    <w:rPr>
      <w:w w:val="100"/>
      <w:position w:val="-1"/>
      <w:vertAlign w:val="baseline"/>
      <w:cs w:val="0"/>
    </w:rPr>
  </w:style>
  <w:style w:type="character" w:customStyle="1" w:styleId="51">
    <w:name w:val="given-name"/>
    <w:uiPriority w:val="0"/>
    <w:rPr>
      <w:w w:val="100"/>
      <w:position w:val="-1"/>
      <w:vertAlign w:val="baseline"/>
      <w:cs w:val="0"/>
    </w:rPr>
  </w:style>
  <w:style w:type="character" w:customStyle="1" w:styleId="52">
    <w:name w:val="family-name3"/>
    <w:uiPriority w:val="0"/>
    <w:rPr>
      <w:w w:val="100"/>
      <w:position w:val="-1"/>
      <w:vertAlign w:val="baseline"/>
      <w:cs w:val="0"/>
    </w:rPr>
  </w:style>
  <w:style w:type="paragraph" w:customStyle="1" w:styleId="53">
    <w:name w:val="headline-title title"/>
    <w:basedOn w:val="1"/>
    <w:uiPriority w:val="0"/>
    <w:pPr>
      <w:spacing w:before="100" w:beforeAutospacing="1" w:after="100" w:afterAutospacing="1"/>
    </w:pPr>
  </w:style>
  <w:style w:type="paragraph" w:customStyle="1" w:styleId="54">
    <w:name w:val="Body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" w:lineRule="atLeast"/>
      <w:ind w:leftChars="-1" w:hanging="1" w:hangingChars="1"/>
      <w:textAlignment w:val="top"/>
      <w:outlineLvl w:val="0"/>
    </w:pPr>
    <w:rPr>
      <w:color w:val="000000"/>
      <w:position w:val="-1"/>
      <w:sz w:val="24"/>
      <w:szCs w:val="24"/>
      <w:lang w:val="es-PE" w:eastAsia="es-PE"/>
    </w:rPr>
  </w:style>
  <w:style w:type="paragraph" w:customStyle="1" w:styleId="55">
    <w:name w:val="Revision"/>
    <w:qFormat/>
    <w:uiPriority w:val="0"/>
    <w:pPr>
      <w:suppressAutoHyphens/>
      <w:spacing w:line="1" w:lineRule="atLeast"/>
      <w:ind w:leftChars="-1" w:hanging="1" w:hangingChars="1"/>
      <w:textAlignment w:val="top"/>
      <w:outlineLvl w:val="0"/>
    </w:pPr>
    <w:rPr>
      <w:position w:val="-1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header" Target="header1.xml"/><Relationship Id="rId7" Type="http://schemas.openxmlformats.org/officeDocument/2006/relationships/numbering" Target="numbering.xml"/><Relationship Id="rId12" Type="http://schemas.openxmlformats.org/officeDocument/2006/relationships/customXml" Target="../customXml/item5.xml"/><Relationship Id="rId2" Type="http://schemas.openxmlformats.org/officeDocument/2006/relationships/settings" Target="settings.xml"/><Relationship Id="rId6" Type="http://schemas.openxmlformats.org/officeDocument/2006/relationships/customXml" Target="../customXml/item1.xml"/><Relationship Id="rId1" Type="http://schemas.openxmlformats.org/officeDocument/2006/relationships/styles" Target="styles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9" Type="http://schemas.openxmlformats.org/officeDocument/2006/relationships/fontTable" Target="fontTable.xml"/><Relationship Id="rId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7EVBPOOK63VL2KWK6DdmDIU0bw==">AMUW2mUZehwEnhPIKnmrZ7Qw3a+BSuKO98/qjCRFj4wIB2S6KAJLBw77P1APWQeSiZcuLCB44fBfjeUD5rLg0bkiQigwxwdEfodx6tY4r81UkYpz35OqmVfsXN4/Eqk5iKJmGQP5fGDNoqZg9lvn1PZUZayWZh90jEsGZpB6dP/LqJiwLr3P0qKOSwNte/kKlqUznl87nHWkYeBiRXCXrqt6ZCTFOwbikfXo/9P5QljqrzGUnqXzW7IGzSb/H/bFwVQi5VpSwMmzvHbL8TxCWqlEhNloERoswZO9sKnyw1wljwn66QD/7spv5Lgahxg+tXkruBHJUysv54UfX0uWEQWH5i9KvUdvGGxA4AStnOCLSltPAI9owFy9WAwDoSnp/0Xc4dyTEXbtJoskr4CK/IMJR6Qlteh/JfjuNMPY71zl1FiVeibwFvJGCc/Dfby0gFbOQVt3gpFBsb8iAoLeC/COZ+uDEU8mFa5NAC/CiwiTv5dM8RkT9jyHHOF5oKdg96h/KpMeBH4pbK2IHujZs39CeOHHz+3SU/LeDxO/ZtFmxecmA+AJYZRCJ90/kH50jQNvTl1KXieJ7gUYnGaoz06qbaaKGRKvFKRP4mt0zbAjJ2758w05yzU3OC8nwAVPSm8GN2tcKK4DwX92hk+mx2QvKKuTaqHQ/FlgvXXUZnSNhvDGDIlcAfZLN4CLbijqEF1GO8FYTsgGnyuzbN94y120jJv6/0uzaLOZ/+kIZlyTHalWG/4q2MQ9l9FwUYS+XjjqXyzH0zzolWxWD0ByS09+99MK34BNNsB32/fndw79/3mgzxdaNdR/xpLUUOxGADqY1ctv+9gsW9Gu9W7XDRkJYtGprUVQXr6yGiHARWdEmZxr5+Z8EySWoNsjZgOP26ayMjqlqulhjhi9Hkc91W67pYackQYVMYbO08n2oM+tYZCcq5OCNy5MmzXzLLNpoC0ZYGV40GMPOWHRPUF/QWYQnyjyT3Y1p6NdOpa314hou9vGgatHIvNzRV1FtyRK6m55ZXDRwJuJF1anyYs5rUgc/meR8QYIjqP19MQ41ZiEII87sQLfaDtXm8PqvtB4Ab6b5zFsRs4Y+onW0TdUBWsNzXRFJXxcEVYwGrED/lItYIyHRCiO7khRpkABgX7Hk4HvV79GUJMi7TkrSXTXhe2XbAlyf9ltJKX6M3zUDpO2RtrSi7EXM8SM1TuDH1CWIIsU9mHvvW5IYWIamy/FBv2QIReLxjGO+IGZFr6+BfQXueUiL6HuC3TYyv+juTY0zkgzdm81rZuKbefSHzER2Rj5Ij3LyiC9SSxNtxF9pMmteDDhL+Ozk5lV3jNvuaCltijqb0R8GC8SSVgSZvGNbnFscnsbRpbRk2m0t4SMkJ1tp/9Qkl7ufy+2g4bHpZDNbtejlbyp1e1Jr3vl0BdlLJF6UKJ58JbGbQ3Ihj2dRh5u3EN5CLFfaoXEvRWIxyZqUeAEn//xLtBEhjOJIO+RIqi7WSJV29oW/L4Q3G01DZLkMkCu2m4LgTirDeFvipGvQV9qafbRmaVI2lvW0QPU/bw6MMJII+ka+0yU/47/bcPG7myNOwCPBu9XIQD7afiM2Es9pk+4j4k+CNsUmWnWMcP/8YHEXlF8yhi1Vbkg+eKkc0DZ6hz4zrQr3YiOkik7r+wF0vXJdWmDJFtLg0SE/3GmsaSp7KgYedl2b8ZJXqT9Daou6y9Lzdk85SMiOAMIf7szOgSp/oIqw8dABx+rh1vhUjTePsovdwgGAtexj+G5lgTK4AsgyA+WBbTm+FXC4PsBTR3hq6t9AU8Sh5Vp3RHsNX600o173BhhOYj124J75rEVJT5lBHaQC03F2iJ6o77gvq6i6oNoCgyDVATDVRcedzb+qE5oakKZTvQ7fX+dPuCzlumMxtLR7uPUq6WRH7zBDYeqqJA0h0nJ3TeDeDtwG7/UWqfQ1J3sz3h28TcpHEDDkkWd3l1CjzjQ1NNAyzm6l/l73bx3BFAWsMnHa/2DoggLCXmJvFabdvuI7+ju032VC6y7ZfDXbxija0ZB0GeBIHC25HLGXfDmBftygB9eZdpuT8/okxKw1BIdGUsjjN18V/X+07QsdlzpYSkVhJK9JzYWSB0Ru4EH2zgmF41gsmqxEc4REqo8a8D2uEoP3+ZS6EMSMXEq16uTvq5OK7sRGEYpi2xPzb96UKJ81KESnB42JE+RVxU0WwSOHos+F8UNYHn9FVJtOEAE/7FGZ6uHvbB5XvyK5soP1ft0KUBBgwlNA3Pwy2QwqEtsRMYdidtYdCkzlvQP56LhADYW57zUdBdhoUQ7i26hYdNxgeghxcLp0XBY7Zq971UqNotXvo7uXOl6nudrs4SqEXVN9YxuLa8SJAnOXMKoOmW45iapXtrOB3wi+KwVsf1/RXIV56LyApdeutll9aS2fdnkOPlRVETVrWlAOi4Tq6NI/Rrq4xQQSCt08/nPcnRd1LHv/RJ3s3Ko3XpoS94BgdQDdbGkqfCMoWtTQ6Hw1UIgCqXfdHHTu5lYo1bwfDgkuFzWKCD42XJkpwtCBKVQ0SXx6eJmbF2bJ3Qer/N+PxzjMWl8JC2YQzkGcykath8OxFSbnGiUX2+ScvpMmrz8ci++JYXZmbJK5Ca6KCv+VVHptSOkMQSYpqXJfOhqteYthsZphS6xsv9Td8ITUt9uG5QI1dcArO2bDtmpBOUVVuNsE+0cTbRkTYm/0FGccGm9m0BjJFbSNqhCTdGRWo1x2HQXVl06ViuFIn4WwWmbRlT1fKa7zWnfjRRuDaHoQruWVFsyKFtUiwgr8wc7RyabdhACuJqtN1Um8wOSq2qRcepIsjLtDk0SX3W/mAO1a1803881Wmq/HVsSkryEfLepsYdQF9IO4NOtDGq/bDARrsvBSxUOiuYXK5klhTRou7nlAN920e/SbrOwWaUx4IGN0uCa9RXudvcKGuqR6yAWlPh+VlWA01ePlV5f4Y54pYI60Zrgc9b+LRoMyBLR7Z13A6rId6bsnZYCvBnrpjEswIczO8SN0ZXr1yZiQbT0r/7RN5/O3V4PLMyddPMM/ykeEYaoCYr4tnBcR3Eyya+J86jRK2ruh63qphMDhyIpou9kWWGoYShCVIuE91+Pn16iYjRc9GNwqsTq2pGzioMOJWagX9SFzJtnVvknXywMzENvFbF6nfymKQMXnrTWdVzueCgkZI4a5UnHMj/LmMjtUnM3mQiewDiBIih+Kl+/yNxuq3uBhU+aP2POwCgKOTrZd7XAAvQGbv1sjKPn3m/yPIW61BgNEPrCeo3G1uuBiNzyYGS0OEFbECQX5ta6Xp8v8Jr1ttWL2RTWZCxPKM7PLjyHd0xoeb9EcCxCZn/y3TutoK9GBOixSatKLhD+SdrEP810Mhoj8CtLfMlpXRheMnS8GuoJUP1YgkpRxQbxWR1Yryy5Be84bfQstmo8U+UDeKje3yNf12SjA72pb53/wWtHoeLWlvF/NWs/RUmhfU2tP9uHEQrP92fmJmzhGaSV7efcKh538wLC0prnQ4RdH7iLueGbOkDwmHDn2KnaUe0LbUPxfB3+b38zHPHO4kQ7Wu/iAcSdVT+A92UNMhlyi1s5kmVYYJCh0dCKDPTA81VfwYpf04v9WGiNCEUeG4vtPgHA+nwylnfuO6LHuEseSdCcinyPBXdMP1WamopnMqkX1VKgiIr+AIPchu/A3ueBUg+jjmMlkKhA2uN7ZRzQZzQCi4Lk/UDQtzMEKv358a43HY5+8FRQtreSratB1qtHTxkJRZOVKeGJawfrcW/Ut9yFV+sk5JLvauTmokJMIE1u67m6hmQ+0Wrui4YSnJWJOm2BGe+jvr71V/0pKMaYHw0KaEhayVDNhNoR7SJZIZbe3rp96qGKmB4xBSQ/F6/kbA3TvrbJvparNn7QhAlv7g8LpKGQjIaF+c1H7XvZCFX810TW131S7ePTSgfbQBjcQcvJPUm88l27Mo4jCUKKrNZ5QT7oJRun1tSKgpV2wp6unLfH92C8qg7NSqE51+IafWkoMrAM66tBYHSqzetRJta/ZuAIha/IeZ43L0DWwR3OaXbZcQujWu8ecs80jz9mrjyd40vNIasexz2Y6fsHisxiP4VnB5nlsuSdM/KFpdRcYmQlnxSDbOKYqOxN6y0SH/Wu47vGAy/l+InQVM/rFlUMLW6jVZA2hbwztv9Y6I8B8uBMswobjhh3q5D0G1QWJJgGPjLzb1dP2LaG08cjOoMkHVeSzl98RmONS9LEbJxWHglUEuO2O8rz9aAst4nTbr7I0ocT2iuLrwhjrwZ76hmGaKgW81OdDrTuDdotdwdAKcVH7nrE9ooZPO9siS3fI0MD9yJPTDYNnMTX4qBrEmqPlB1Ks6nbZarM3s6CMOK5vCKpuVWmPvkqer6HEJhBbEAz4UlhfZZ/g3nA4+x9cgVbwoxWBk0rOuUqQQQMfaOP0EOzIyKvy5Bu4dyaZWHGpokLaiQZDxvo5102a7PRCFZ4uDasvfHi8+K/2b2sGaqkmi3cK78drVsx/WTwYDFvgcJG1BeY37WqD/sZKgYX1Dq5j2Ta1V8bEhO9ulS7LXOnd2AwdtHr69aAlSsdjjW3gBqWVx/DLFuUWNar8SXjRecgrAPOEwGmQq5fNbSLuPAz5lic5gTwQTyWtxMsGGppD3CqbQpxxBjXIGRxSy+MhUxzgJTmbasRyrTQcSLAjDPtFwTdSqqCqq+w8NVfhiiCnkUFqYiqldXgBlB1+PfT2jec5om4+jMsIoJzv0KANsZflrGJmean63umLHfXxZmg18fHMQemUQr2RLpyOSlK05P9dWWxbVWfVit1WCDCiT4VILUzMvfWEw83k4Z0VCMd3MQHCrkTnQN8Jhi0LIioUNcAlS4ZlMIiluO72q5fDDOi71ZkriJoPu4mVZ8ihclDSYbpGnCSalReJW5gc93BAYglvkjgplt2ggry15VP5rgMCugyPLDboDT7rxs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E684DBF2FB84BB951F42A6B0FC861" ma:contentTypeVersion="2" ma:contentTypeDescription="Create a new document." ma:contentTypeScope="" ma:versionID="b0fdd02ef96913f27891a12c99dfe7b7">
  <xsd:schema xmlns:xsd="http://www.w3.org/2001/XMLSchema" xmlns:xs="http://www.w3.org/2001/XMLSchema" xmlns:p="http://schemas.microsoft.com/office/2006/metadata/properties" xmlns:ns1="http://schemas.microsoft.com/sharepoint/v3" xmlns:ns2="89f4cd83-a2d3-4405-9b45-6aff5241ff81" targetNamespace="http://schemas.microsoft.com/office/2006/metadata/properties" ma:root="true" ma:fieldsID="035ebb9a2f44faf05c70baa707822c4d" ns1:_="" ns2:_="">
    <xsd:import namespace="http://schemas.microsoft.com/sharepoint/v3"/>
    <xsd:import namespace="89f4cd83-a2d3-4405-9b45-6aff5241ff8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4cd83-a2d3-4405-9b45-6aff5241ff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customXml/itemProps3.xml><?xml version="1.0" encoding="utf-8"?>
<ds:datastoreItem xmlns:ds="http://schemas.openxmlformats.org/officeDocument/2006/customXml" ds:itemID="{95622DAE-7E9D-40A0-BBFC-36BE281A8670}"/>
</file>

<file path=customXml/itemProps4.xml><?xml version="1.0" encoding="utf-8"?>
<ds:datastoreItem xmlns:ds="http://schemas.openxmlformats.org/officeDocument/2006/customXml" ds:itemID="{FC7D8D19-195F-4DA1-8FEC-24DC6BE77357}"/>
</file>

<file path=customXml/itemProps5.xml><?xml version="1.0" encoding="utf-8"?>
<ds:datastoreItem xmlns:ds="http://schemas.openxmlformats.org/officeDocument/2006/customXml" ds:itemID="{E2D5A4D5-D687-4F21-A1AE-A7F60D738DE3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Office_11.2.0.8991_F1E327BC-269C-435d-A152-05C5408002CA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MMestre</dc:creator>
  <cp:lastModifiedBy>Elba Martínez Vargas</cp:lastModifiedBy>
  <dcterms:created xsi:type="dcterms:W3CDTF">2021-12-08T18:16:00Z</dcterms:created>
  <dcterms:modified xsi:type="dcterms:W3CDTF">2021-12-09T00:48:48Z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0x0101009E8E684DBF2FB84BB951F42A6B0FC861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KSOProductBuildVer">
    <vt:lpwstr>3082-11.2.0.8991</vt:lpwstr>
  </property>
</Properties>
</file>